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B7497" w14:textId="77777777" w:rsidR="005D3E16" w:rsidRDefault="005D3E16">
      <w:pPr>
        <w:pBdr>
          <w:top w:val="nil"/>
          <w:left w:val="nil"/>
          <w:bottom w:val="nil"/>
          <w:right w:val="nil"/>
          <w:between w:val="nil"/>
        </w:pBdr>
        <w:spacing w:line="240" w:lineRule="auto"/>
        <w:ind w:left="2" w:hanging="4"/>
        <w:jc w:val="center"/>
        <w:rPr>
          <w:rFonts w:ascii="Aptos" w:eastAsia="Aptos" w:hAnsi="Aptos" w:cs="Aptos"/>
          <w:color w:val="000000"/>
          <w:sz w:val="36"/>
          <w:szCs w:val="36"/>
        </w:rPr>
      </w:pPr>
    </w:p>
    <w:p w14:paraId="79949EC4"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559BC435"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53C2FA99" w14:textId="77777777" w:rsidR="005D3E16" w:rsidRDefault="005D3E16">
      <w:pPr>
        <w:pBdr>
          <w:top w:val="nil"/>
          <w:left w:val="nil"/>
          <w:bottom w:val="nil"/>
          <w:right w:val="nil"/>
          <w:between w:val="nil"/>
        </w:pBdr>
        <w:spacing w:line="240" w:lineRule="auto"/>
        <w:ind w:left="0" w:hanging="2"/>
        <w:jc w:val="center"/>
        <w:rPr>
          <w:rFonts w:ascii="Aptos" w:eastAsia="Aptos" w:hAnsi="Aptos" w:cs="Aptos"/>
          <w:color w:val="000000"/>
          <w:szCs w:val="24"/>
        </w:rPr>
      </w:pPr>
    </w:p>
    <w:p w14:paraId="7A149526" w14:textId="77777777" w:rsidR="005D3E16" w:rsidRPr="00E33329" w:rsidRDefault="00467377">
      <w:pPr>
        <w:pBdr>
          <w:top w:val="nil"/>
          <w:left w:val="nil"/>
          <w:bottom w:val="nil"/>
          <w:right w:val="nil"/>
          <w:between w:val="nil"/>
        </w:pBdr>
        <w:spacing w:line="240" w:lineRule="auto"/>
        <w:ind w:left="0" w:hanging="2"/>
        <w:jc w:val="center"/>
        <w:rPr>
          <w:rFonts w:ascii="Aptos" w:eastAsia="Aptos" w:hAnsi="Aptos" w:cs="Aptos"/>
          <w:color w:val="000000"/>
          <w:sz w:val="36"/>
          <w:szCs w:val="36"/>
          <w:lang w:val="it-IT"/>
        </w:rPr>
      </w:pPr>
      <w:r w:rsidRPr="00E33329">
        <w:rPr>
          <w:rFonts w:ascii="Aptos" w:eastAsia="Aptos" w:hAnsi="Aptos" w:cs="Aptos"/>
          <w:i/>
          <w:color w:val="000000"/>
          <w:szCs w:val="24"/>
          <w:lang w:val="it-IT"/>
        </w:rPr>
        <w:t>(Carta Intestata Revisore Esterno)</w:t>
      </w:r>
    </w:p>
    <w:p w14:paraId="02AABD48" w14:textId="77777777" w:rsidR="005D3E16" w:rsidRPr="00E33329" w:rsidRDefault="005D3E16">
      <w:pPr>
        <w:pBdr>
          <w:top w:val="nil"/>
          <w:left w:val="nil"/>
          <w:bottom w:val="nil"/>
          <w:right w:val="nil"/>
          <w:between w:val="nil"/>
        </w:pBdr>
        <w:spacing w:line="240" w:lineRule="auto"/>
        <w:ind w:left="2" w:hanging="4"/>
        <w:jc w:val="center"/>
        <w:rPr>
          <w:rFonts w:ascii="Aptos" w:eastAsia="Aptos" w:hAnsi="Aptos" w:cs="Aptos"/>
          <w:color w:val="000000"/>
          <w:sz w:val="36"/>
          <w:szCs w:val="36"/>
          <w:lang w:val="it-IT"/>
        </w:rPr>
      </w:pPr>
    </w:p>
    <w:p w14:paraId="6B2C2AFA" w14:textId="77777777" w:rsidR="005D3E16" w:rsidRPr="00E33329" w:rsidRDefault="005D3E16">
      <w:pPr>
        <w:pBdr>
          <w:top w:val="nil"/>
          <w:left w:val="nil"/>
          <w:bottom w:val="nil"/>
          <w:right w:val="nil"/>
          <w:between w:val="nil"/>
        </w:pBdr>
        <w:spacing w:line="240" w:lineRule="auto"/>
        <w:ind w:left="1" w:hanging="3"/>
        <w:jc w:val="center"/>
        <w:rPr>
          <w:rFonts w:ascii="Aptos" w:eastAsia="Aptos" w:hAnsi="Aptos" w:cs="Aptos"/>
          <w:color w:val="2E74B5"/>
          <w:sz w:val="28"/>
          <w:szCs w:val="28"/>
          <w:lang w:val="it-IT"/>
        </w:rPr>
      </w:pPr>
    </w:p>
    <w:p w14:paraId="18799F07" w14:textId="77777777" w:rsidR="005D3E16" w:rsidRPr="00E33329" w:rsidRDefault="00467377">
      <w:pPr>
        <w:pBdr>
          <w:top w:val="nil"/>
          <w:left w:val="nil"/>
          <w:bottom w:val="nil"/>
          <w:right w:val="nil"/>
          <w:between w:val="nil"/>
        </w:pBdr>
        <w:spacing w:after="120" w:line="240" w:lineRule="auto"/>
        <w:ind w:left="1" w:hanging="3"/>
        <w:jc w:val="center"/>
        <w:rPr>
          <w:rFonts w:ascii="Aptos" w:eastAsia="Aptos" w:hAnsi="Aptos" w:cs="Aptos"/>
          <w:color w:val="000000"/>
          <w:sz w:val="28"/>
          <w:szCs w:val="28"/>
          <w:lang w:val="it-IT"/>
        </w:rPr>
      </w:pPr>
      <w:r w:rsidRPr="00E33329">
        <w:rPr>
          <w:rFonts w:ascii="Aptos" w:eastAsia="Aptos" w:hAnsi="Aptos" w:cs="Aptos"/>
          <w:b/>
          <w:color w:val="000000"/>
          <w:sz w:val="28"/>
          <w:szCs w:val="28"/>
          <w:lang w:val="it-IT"/>
        </w:rPr>
        <w:t xml:space="preserve">Relazione del Revisore esterno </w:t>
      </w:r>
    </w:p>
    <w:p w14:paraId="0CD690CF" w14:textId="77777777" w:rsidR="005D3E16" w:rsidRPr="00E33329" w:rsidRDefault="00467377">
      <w:pPr>
        <w:pBdr>
          <w:top w:val="nil"/>
          <w:left w:val="nil"/>
          <w:bottom w:val="nil"/>
          <w:right w:val="nil"/>
          <w:between w:val="nil"/>
        </w:pBdr>
        <w:spacing w:after="120" w:line="240" w:lineRule="auto"/>
        <w:ind w:left="1" w:hanging="3"/>
        <w:jc w:val="center"/>
        <w:rPr>
          <w:rFonts w:ascii="Aptos" w:eastAsia="Aptos" w:hAnsi="Aptos" w:cs="Aptos"/>
          <w:color w:val="000000"/>
          <w:sz w:val="28"/>
          <w:szCs w:val="28"/>
          <w:lang w:val="it-IT"/>
        </w:rPr>
      </w:pPr>
      <w:r w:rsidRPr="00E33329">
        <w:rPr>
          <w:rFonts w:ascii="Aptos" w:eastAsia="Aptos" w:hAnsi="Aptos" w:cs="Aptos"/>
          <w:b/>
          <w:color w:val="000000"/>
          <w:sz w:val="28"/>
          <w:szCs w:val="28"/>
          <w:lang w:val="it-IT"/>
        </w:rPr>
        <w:t>sulla rendicontazione (Intermedia / Finale) del PROGETTO AID ………</w:t>
      </w:r>
    </w:p>
    <w:p w14:paraId="1E7E10B2"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655338AE"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44B25802" w14:textId="77777777" w:rsidR="005D3E16" w:rsidRPr="00E33329" w:rsidRDefault="00467377">
      <w:pPr>
        <w:pBdr>
          <w:top w:val="nil"/>
          <w:left w:val="nil"/>
          <w:bottom w:val="nil"/>
          <w:right w:val="nil"/>
          <w:between w:val="nil"/>
        </w:pBdr>
        <w:spacing w:after="120" w:line="240" w:lineRule="auto"/>
        <w:ind w:left="0" w:hanging="2"/>
        <w:jc w:val="right"/>
        <w:rPr>
          <w:rFonts w:ascii="Aptos" w:eastAsia="Aptos" w:hAnsi="Aptos" w:cs="Aptos"/>
          <w:color w:val="000000"/>
          <w:szCs w:val="24"/>
          <w:lang w:val="it-IT"/>
        </w:rPr>
      </w:pPr>
      <w:r w:rsidRPr="00E33329">
        <w:rPr>
          <w:rFonts w:ascii="Aptos" w:eastAsia="Aptos" w:hAnsi="Aptos" w:cs="Aptos"/>
          <w:color w:val="000000"/>
          <w:szCs w:val="24"/>
          <w:lang w:val="it-IT"/>
        </w:rPr>
        <w:t>ALL'AGENZIA ITALIANA PER LA COOPERAZIONE ALLO SVILUPPO</w:t>
      </w:r>
    </w:p>
    <w:p w14:paraId="08E714AE" w14:textId="1ED18935" w:rsidR="005D3E16" w:rsidRPr="00E33329" w:rsidRDefault="00467377">
      <w:pPr>
        <w:pBdr>
          <w:top w:val="nil"/>
          <w:left w:val="nil"/>
          <w:bottom w:val="nil"/>
          <w:right w:val="nil"/>
          <w:between w:val="nil"/>
        </w:pBdr>
        <w:spacing w:after="120" w:line="240" w:lineRule="auto"/>
        <w:ind w:left="0" w:hanging="2"/>
        <w:jc w:val="right"/>
        <w:rPr>
          <w:rFonts w:ascii="Aptos" w:eastAsia="Aptos" w:hAnsi="Aptos" w:cs="Aptos"/>
          <w:color w:val="000000"/>
          <w:szCs w:val="24"/>
          <w:lang w:val="it-IT"/>
        </w:rPr>
      </w:pPr>
      <w:r w:rsidRPr="00E33329">
        <w:rPr>
          <w:rFonts w:ascii="Aptos" w:eastAsia="Aptos" w:hAnsi="Aptos" w:cs="Aptos"/>
          <w:color w:val="000000"/>
          <w:szCs w:val="24"/>
          <w:lang w:val="it-IT"/>
        </w:rPr>
        <w:t xml:space="preserve">Sede </w:t>
      </w:r>
      <w:r w:rsidRPr="00E33329">
        <w:rPr>
          <w:rFonts w:ascii="Aptos" w:eastAsia="Aptos" w:hAnsi="Aptos" w:cs="Aptos"/>
          <w:color w:val="000000"/>
          <w:szCs w:val="24"/>
          <w:lang w:val="it-IT"/>
        </w:rPr>
        <w:t xml:space="preserve">AICS di </w:t>
      </w:r>
      <w:r w:rsidR="00385498">
        <w:rPr>
          <w:rFonts w:ascii="Aptos" w:eastAsia="Aptos" w:hAnsi="Aptos" w:cs="Aptos"/>
          <w:color w:val="000000"/>
          <w:szCs w:val="24"/>
          <w:lang w:val="it-IT"/>
        </w:rPr>
        <w:t>Tirana</w:t>
      </w:r>
      <w:r w:rsidRPr="00E33329">
        <w:rPr>
          <w:rFonts w:ascii="Aptos" w:eastAsia="Aptos" w:hAnsi="Aptos" w:cs="Aptos"/>
          <w:color w:val="000000"/>
          <w:szCs w:val="24"/>
          <w:lang w:val="it-IT"/>
        </w:rPr>
        <w:t xml:space="preserve"> - </w:t>
      </w:r>
      <w:r w:rsidR="00385498">
        <w:rPr>
          <w:rFonts w:ascii="Aptos" w:eastAsia="Aptos" w:hAnsi="Aptos" w:cs="Aptos"/>
          <w:color w:val="000000"/>
          <w:szCs w:val="24"/>
          <w:lang w:val="it-IT"/>
        </w:rPr>
        <w:t>Albania</w:t>
      </w:r>
    </w:p>
    <w:p w14:paraId="2411036C" w14:textId="77777777" w:rsidR="005D3E16" w:rsidRPr="00E33329" w:rsidRDefault="005D3E16">
      <w:pPr>
        <w:pBdr>
          <w:top w:val="nil"/>
          <w:left w:val="nil"/>
          <w:bottom w:val="nil"/>
          <w:right w:val="nil"/>
          <w:between w:val="nil"/>
        </w:pBdr>
        <w:spacing w:line="240" w:lineRule="auto"/>
        <w:ind w:left="0" w:hanging="2"/>
        <w:jc w:val="right"/>
        <w:rPr>
          <w:rFonts w:ascii="Aptos" w:eastAsia="Aptos" w:hAnsi="Aptos" w:cs="Aptos"/>
          <w:color w:val="000000"/>
          <w:szCs w:val="24"/>
          <w:lang w:val="it-IT"/>
        </w:rPr>
      </w:pPr>
    </w:p>
    <w:p w14:paraId="3BBD0028" w14:textId="77777777" w:rsidR="005D3E16" w:rsidRDefault="00467377">
      <w:pPr>
        <w:numPr>
          <w:ilvl w:val="0"/>
          <w:numId w:val="1"/>
        </w:numPr>
        <w:pBdr>
          <w:top w:val="nil"/>
          <w:left w:val="nil"/>
          <w:bottom w:val="nil"/>
          <w:right w:val="nil"/>
          <w:between w:val="nil"/>
        </w:pBdr>
        <w:spacing w:line="240" w:lineRule="auto"/>
        <w:ind w:left="0" w:hanging="2"/>
        <w:rPr>
          <w:rFonts w:ascii="Aptos" w:eastAsia="Aptos" w:hAnsi="Aptos" w:cs="Aptos"/>
          <w:color w:val="000000"/>
          <w:szCs w:val="24"/>
        </w:rPr>
      </w:pPr>
      <w:r>
        <w:rPr>
          <w:rFonts w:ascii="Aptos" w:eastAsia="Aptos" w:hAnsi="Aptos" w:cs="Aptos"/>
          <w:b/>
          <w:color w:val="000000"/>
          <w:szCs w:val="24"/>
        </w:rPr>
        <w:t>INTRODUZIONE</w:t>
      </w:r>
    </w:p>
    <w:p w14:paraId="5CBBC1AA" w14:textId="77777777" w:rsidR="005D3E16" w:rsidRDefault="005D3E16">
      <w:pPr>
        <w:pBdr>
          <w:top w:val="nil"/>
          <w:left w:val="nil"/>
          <w:bottom w:val="nil"/>
          <w:right w:val="nil"/>
          <w:between w:val="nil"/>
        </w:pBdr>
        <w:spacing w:line="240" w:lineRule="auto"/>
        <w:ind w:left="0" w:hanging="2"/>
        <w:rPr>
          <w:rFonts w:ascii="Aptos" w:eastAsia="Aptos" w:hAnsi="Aptos" w:cs="Aptos"/>
          <w:color w:val="000000"/>
          <w:szCs w:val="24"/>
          <w:u w:val="single"/>
        </w:rPr>
      </w:pPr>
    </w:p>
    <w:p w14:paraId="2A018D5F"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Il sottoscritto _______________________, Revisore Legale dei Conti / Dottore Commercialista, iscritto dal ….  al Registro dei revisori legali di cui al Decreto Legislativo 27 gennaio 2010, n. 39 e ss. mm. e ii. con numero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xml:space="preserve">.] e/o all’Albo dei dottori commercialisti numero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w:t>
      </w:r>
      <w:r w:rsidRPr="00E33329">
        <w:rPr>
          <w:rFonts w:ascii="Aptos" w:eastAsia="Aptos" w:hAnsi="Aptos" w:cs="Aptos"/>
          <w:b/>
          <w:color w:val="000000"/>
          <w:szCs w:val="24"/>
          <w:lang w:val="it-IT"/>
        </w:rPr>
        <w:t xml:space="preserve"> </w:t>
      </w:r>
      <w:r w:rsidRPr="00E33329">
        <w:rPr>
          <w:rFonts w:ascii="Aptos" w:eastAsia="Aptos" w:hAnsi="Aptos" w:cs="Aptos"/>
          <w:color w:val="000000"/>
          <w:szCs w:val="24"/>
          <w:lang w:val="it-IT"/>
        </w:rPr>
        <w:t>e</w:t>
      </w:r>
      <w:r w:rsidRPr="00E33329">
        <w:rPr>
          <w:rFonts w:ascii="Aptos" w:eastAsia="Aptos" w:hAnsi="Aptos" w:cs="Aptos"/>
          <w:b/>
          <w:color w:val="000000"/>
          <w:szCs w:val="24"/>
          <w:lang w:val="it-IT"/>
        </w:rPr>
        <w:t xml:space="preserve"> </w:t>
      </w:r>
      <w:r w:rsidRPr="00E33329">
        <w:rPr>
          <w:rFonts w:ascii="Aptos" w:eastAsia="Aptos" w:hAnsi="Aptos" w:cs="Aptos"/>
          <w:color w:val="000000"/>
          <w:szCs w:val="24"/>
          <w:lang w:val="it-IT"/>
        </w:rPr>
        <w:t xml:space="preserve">designato dall’Ente </w:t>
      </w:r>
      <w:proofErr w:type="gramStart"/>
      <w:r w:rsidRPr="00E33329">
        <w:rPr>
          <w:rFonts w:ascii="Aptos" w:eastAsia="Aptos" w:hAnsi="Aptos" w:cs="Aptos"/>
          <w:color w:val="000000"/>
          <w:szCs w:val="24"/>
          <w:lang w:val="it-IT"/>
        </w:rPr>
        <w:t>esecutore  (</w:t>
      </w:r>
      <w:proofErr w:type="gramEnd"/>
      <w:r w:rsidRPr="00E33329">
        <w:rPr>
          <w:rFonts w:ascii="Aptos" w:eastAsia="Aptos" w:hAnsi="Aptos" w:cs="Aptos"/>
          <w:color w:val="000000"/>
          <w:szCs w:val="24"/>
          <w:lang w:val="it-IT"/>
        </w:rPr>
        <w:t xml:space="preserve">………………), ha esaminato la documentazione amministrativo-contabile relativa al Progetto/Iniziativa denominato/a (Titolo e Codice AID) ed ha effettuato le verifiche e i test di audit come previsti dalla documentazione di riferimento citata nel successivo paragrafo 2. “Portata dell’esame”. </w:t>
      </w:r>
    </w:p>
    <w:p w14:paraId="18993D98"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49DCC004"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Il sottoscritto dichiara di aver avviato le attività di audit del Progetto avente codice AID ……. in data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xml:space="preserve">. dopo l’acquisizione ai propri atti di tutta la documentazione richiesta e trasmessa da parte dell’Ente esecutore per il rilascio del presente certificato di audit. </w:t>
      </w:r>
    </w:p>
    <w:p w14:paraId="34BF4474"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8B1D84E"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Il sottoscritto dichiara di aver programmato ed effettuato i lavori al fine di ottenere ragionevoli garanzie circa la correttezza e la validità dei rendiconti relativi al saldo intermedio / finale dell’Iniziativa in parola (codice AID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xml:space="preserve">) e circa la legittimità e regolarità delle transazioni ad esso collegate. </w:t>
      </w:r>
      <w:proofErr w:type="spellStart"/>
      <w:r>
        <w:rPr>
          <w:rFonts w:ascii="Aptos" w:eastAsia="Aptos" w:hAnsi="Aptos" w:cs="Aptos"/>
          <w:color w:val="000000"/>
          <w:szCs w:val="24"/>
        </w:rPr>
        <w:t>L’esercizio</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della</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verifica</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si</w:t>
      </w:r>
      <w:proofErr w:type="spellEnd"/>
      <w:r>
        <w:rPr>
          <w:rFonts w:ascii="Aptos" w:eastAsia="Aptos" w:hAnsi="Aptos" w:cs="Aptos"/>
          <w:color w:val="000000"/>
          <w:szCs w:val="24"/>
        </w:rPr>
        <w:t xml:space="preserve"> è </w:t>
      </w:r>
      <w:proofErr w:type="spellStart"/>
      <w:r>
        <w:rPr>
          <w:rFonts w:ascii="Aptos" w:eastAsia="Aptos" w:hAnsi="Aptos" w:cs="Aptos"/>
          <w:color w:val="000000"/>
          <w:szCs w:val="24"/>
        </w:rPr>
        <w:t>concluso</w:t>
      </w:r>
      <w:proofErr w:type="spellEnd"/>
      <w:r>
        <w:rPr>
          <w:rFonts w:ascii="Aptos" w:eastAsia="Aptos" w:hAnsi="Aptos" w:cs="Aptos"/>
          <w:color w:val="000000"/>
          <w:szCs w:val="24"/>
        </w:rPr>
        <w:t xml:space="preserve"> in data …….</w:t>
      </w:r>
    </w:p>
    <w:p w14:paraId="49C3EAB9"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7C10927F"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22D1036E" w14:textId="77777777" w:rsidR="005D3E16" w:rsidRDefault="00467377">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PORTATA DELL’ESAME</w:t>
      </w:r>
    </w:p>
    <w:p w14:paraId="477D5F0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2FB2DDF1"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L’esame è stato effettuato conformemente ai Principi di Revisione Internazionali (ISA), alle </w:t>
      </w:r>
      <w:r w:rsidRPr="00E33329">
        <w:rPr>
          <w:rFonts w:ascii="Aptos" w:eastAsia="Aptos" w:hAnsi="Aptos" w:cs="Aptos"/>
          <w:color w:val="000000"/>
          <w:sz w:val="22"/>
          <w:szCs w:val="22"/>
          <w:lang w:val="it-IT"/>
        </w:rPr>
        <w:t xml:space="preserve">normative internazionali IFAC e IESBA </w:t>
      </w:r>
      <w:r w:rsidRPr="00E33329">
        <w:rPr>
          <w:rFonts w:ascii="Aptos" w:eastAsia="Aptos" w:hAnsi="Aptos" w:cs="Aptos"/>
          <w:color w:val="000000"/>
          <w:szCs w:val="24"/>
          <w:lang w:val="it-IT"/>
        </w:rPr>
        <w:t>ed ha riguardato il rispetto della normativa vigente e degli altri atti vincolanti, con particolare riferimento alla Legge n.125/2014, a quanto previsto da Bando, al Manuale di Gestione e Rendicontazione, al Vademecum del Revisore Esterno, al Contratto di finanziamento, alle normative vigenti in Italia e nel Paese di realizzazione dell’Iniziativa, alla Proposta esecutiva e agli altri allegati alla convenzione di finanziamento.</w:t>
      </w:r>
    </w:p>
    <w:p w14:paraId="7BF936F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2BDDE4C"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6905D12A"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1F362402"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lastRenderedPageBreak/>
        <w:t>Sono stati effettuati esclusivamente controlli documentali e sono/non sono stati effettuati controlli in loco [specificare].</w:t>
      </w:r>
    </w:p>
    <w:p w14:paraId="7B101BD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highlight w:val="lightGray"/>
          <w:lang w:val="it-IT"/>
        </w:rPr>
      </w:pPr>
    </w:p>
    <w:p w14:paraId="3409135F"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Non sono stati posti limiti alla portata dell’esame che ha riguardato il 100% dei giustificativi di spesa</w:t>
      </w:r>
    </w:p>
    <w:p w14:paraId="5B38FE8C"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348A354D" w14:textId="77777777" w:rsidR="005D3E16" w:rsidRDefault="00467377">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IRREGOLARITÀ E TASSI DI ERRORE</w:t>
      </w:r>
    </w:p>
    <w:p w14:paraId="352B88C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bl>
      <w:tblPr>
        <w:tblStyle w:val="a"/>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14:paraId="2C1C9470" w14:textId="77777777">
        <w:trPr>
          <w:trHeight w:val="616"/>
          <w:jc w:val="center"/>
        </w:trPr>
        <w:tc>
          <w:tcPr>
            <w:tcW w:w="10286" w:type="dxa"/>
            <w:shd w:val="clear" w:color="auto" w:fill="DEEAF6"/>
            <w:vAlign w:val="center"/>
          </w:tcPr>
          <w:p w14:paraId="622B819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A17D114"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I casi di irregolarità e i tassi di errore riscontrati nell’attività di audit non sono tali da escludere un parere senza riserve. Dato il trattamento efficace di tali problemi da parte degli uffici competenti dell’Ente esecutore non si segnalano importi di spesa che potrebbero essere oggetto di inammissibilità. </w:t>
            </w:r>
          </w:p>
          <w:p w14:paraId="3EBCC7D4"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6B4AE881"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Oppure:</w:t>
            </w:r>
          </w:p>
          <w:p w14:paraId="33C68A8F"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62BE66CA"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I casi di irregolarità e i tassi di errore riscontrati nel corso dell’attività di audit e il loro trattamento da parte degli uffici competenti sono tali da escludere un parere senza riserve. Un elenco di tali casi figura nell’Allegato alla Relazione (come da modello allegato A8d), assieme all’indicazione del loro eventuale carattere sistematico e dell’entità del problema. Gli importi delle spese totali dichiarate e del contributo AICS che potrebbero essere oggetto di inammissibilità ammontano </w:t>
            </w:r>
            <w:proofErr w:type="gramStart"/>
            <w:r w:rsidRPr="00E33329">
              <w:rPr>
                <w:rFonts w:ascii="Aptos" w:eastAsia="Aptos" w:hAnsi="Aptos" w:cs="Aptos"/>
                <w:color w:val="000000"/>
                <w:szCs w:val="24"/>
                <w:lang w:val="it-IT"/>
              </w:rPr>
              <w:t>a  ……….</w:t>
            </w:r>
            <w:proofErr w:type="gramEnd"/>
            <w:r w:rsidRPr="00E33329">
              <w:rPr>
                <w:rFonts w:ascii="Aptos" w:eastAsia="Aptos" w:hAnsi="Aptos" w:cs="Aptos"/>
                <w:color w:val="000000"/>
                <w:szCs w:val="24"/>
                <w:lang w:val="it-IT"/>
              </w:rPr>
              <w:t xml:space="preserve">. </w:t>
            </w:r>
            <w:r>
              <w:rPr>
                <w:rFonts w:ascii="Aptos" w:eastAsia="Aptos" w:hAnsi="Aptos" w:cs="Aptos"/>
                <w:color w:val="000000"/>
                <w:szCs w:val="24"/>
              </w:rPr>
              <w:t>€</w:t>
            </w:r>
          </w:p>
          <w:p w14:paraId="3D7A413A"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color w:val="000000"/>
                <w:szCs w:val="24"/>
              </w:rPr>
              <w:t xml:space="preserve"> </w:t>
            </w:r>
          </w:p>
          <w:p w14:paraId="162532D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c>
      </w:tr>
    </w:tbl>
    <w:p w14:paraId="5F774BDA"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7EA5C8C0"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91376CB" w14:textId="77777777" w:rsidR="005D3E16" w:rsidRDefault="00467377">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PARERE</w:t>
      </w:r>
    </w:p>
    <w:p w14:paraId="3AC12C21"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tbl>
      <w:tblPr>
        <w:tblStyle w:val="a0"/>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467377" w14:paraId="3A0D0AB7" w14:textId="77777777">
        <w:trPr>
          <w:trHeight w:val="616"/>
          <w:jc w:val="center"/>
        </w:trPr>
        <w:tc>
          <w:tcPr>
            <w:tcW w:w="10286" w:type="dxa"/>
            <w:shd w:val="clear" w:color="auto" w:fill="DEEAF6"/>
            <w:vAlign w:val="center"/>
          </w:tcPr>
          <w:p w14:paraId="1FC6B46C"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2504632F"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i/>
                <w:color w:val="000000"/>
                <w:szCs w:val="24"/>
              </w:rPr>
              <w:t>(</w:t>
            </w:r>
            <w:proofErr w:type="spellStart"/>
            <w:r>
              <w:rPr>
                <w:rFonts w:ascii="Aptos" w:eastAsia="Aptos" w:hAnsi="Aptos" w:cs="Aptos"/>
                <w:b/>
                <w:i/>
                <w:color w:val="000000"/>
                <w:szCs w:val="24"/>
              </w:rPr>
              <w:t>Parere</w:t>
            </w:r>
            <w:proofErr w:type="spellEnd"/>
            <w:r>
              <w:rPr>
                <w:rFonts w:ascii="Aptos" w:eastAsia="Aptos" w:hAnsi="Aptos" w:cs="Aptos"/>
                <w:b/>
                <w:i/>
                <w:color w:val="000000"/>
                <w:szCs w:val="24"/>
              </w:rPr>
              <w:t xml:space="preserve"> senza </w:t>
            </w:r>
            <w:proofErr w:type="spellStart"/>
            <w:r>
              <w:rPr>
                <w:rFonts w:ascii="Aptos" w:eastAsia="Aptos" w:hAnsi="Aptos" w:cs="Aptos"/>
                <w:b/>
                <w:i/>
                <w:color w:val="000000"/>
                <w:szCs w:val="24"/>
              </w:rPr>
              <w:t>riserve</w:t>
            </w:r>
            <w:proofErr w:type="spellEnd"/>
            <w:r>
              <w:rPr>
                <w:rFonts w:ascii="Aptos" w:eastAsia="Aptos" w:hAnsi="Aptos" w:cs="Aptos"/>
                <w:b/>
                <w:i/>
                <w:color w:val="000000"/>
                <w:szCs w:val="24"/>
              </w:rPr>
              <w:t>)</w:t>
            </w:r>
          </w:p>
          <w:p w14:paraId="345DD4A5"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non sono stati posti limiti alla portata dell’esame e se i casi di irregolarità e i tassi di errore riscontrati non sono tali da escludere un parere senza riserve:</w:t>
            </w:r>
          </w:p>
          <w:p w14:paraId="0EB39E3A"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BC9DA35"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Sulla base dell’esame di cui sopra il sottoscritto ritiene che il rendiconto intermedio / finale rispecchi fedelmente, sotto tutti gli aspetti principali, le spese sostenute nel contesto dell’iniziativa (Codice AID </w:t>
            </w:r>
            <w:proofErr w:type="gramStart"/>
            <w:r w:rsidRPr="00E33329">
              <w:rPr>
                <w:rFonts w:ascii="Aptos" w:eastAsia="Aptos" w:hAnsi="Aptos" w:cs="Aptos"/>
                <w:color w:val="000000"/>
                <w:szCs w:val="24"/>
                <w:lang w:val="it-IT"/>
              </w:rPr>
              <w:t>…….</w:t>
            </w:r>
            <w:proofErr w:type="gramEnd"/>
            <w:r w:rsidRPr="00E33329">
              <w:rPr>
                <w:rFonts w:ascii="Aptos" w:eastAsia="Aptos" w:hAnsi="Aptos" w:cs="Aptos"/>
                <w:color w:val="000000"/>
                <w:szCs w:val="24"/>
                <w:lang w:val="it-IT"/>
              </w:rPr>
              <w:t>), ne attesta la validità della richiesta di pagamento del saldo intermedio / finale del contributo pubblico, nonché la legittimità e regolarità delle transazioni collegate, relative al rendiconto della spesa.</w:t>
            </w:r>
          </w:p>
          <w:p w14:paraId="29C4F381"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03BE63F3"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tc>
      </w:tr>
      <w:tr w:rsidR="005D3E16" w14:paraId="5EB7BA60" w14:textId="77777777">
        <w:trPr>
          <w:trHeight w:val="616"/>
          <w:jc w:val="center"/>
        </w:trPr>
        <w:tc>
          <w:tcPr>
            <w:tcW w:w="10286" w:type="dxa"/>
            <w:shd w:val="clear" w:color="auto" w:fill="DEEAF6"/>
            <w:vAlign w:val="center"/>
          </w:tcPr>
          <w:p w14:paraId="2160D31E"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Oppure:</w:t>
            </w:r>
          </w:p>
          <w:p w14:paraId="1A8FE810"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DC67034"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(Parere con riserva)</w:t>
            </w:r>
          </w:p>
          <w:p w14:paraId="60CB2BD1"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sono stati posti limiti alla portata dell’esame e/o se i casi di irregolarità e i tassi di errore riscontrati così come il loro trattamento da parte dell’Ente esecutore richiedono un parere con riserva, ma non giustificano un parere negativo per tutte le spese interessate:</w:t>
            </w:r>
          </w:p>
          <w:p w14:paraId="6D5CE23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1F5F4A66"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lastRenderedPageBreak/>
              <w:t>Sulla base dell’esame di cui sopra il sottoscritto ritiene che il rendiconto intermedio / finale di spesa rispecchi fedelmente, sotto tutti gli aspetti principali, le spese sostenute nel contesto dell’Iniziativa (Codice AID ……….) e attesta la validità della richiesta di pagamento (della tranche di finanziamento successiva / del saldo finale, se previsto in Contratto) del contributo pubblico nonché la legittimità e regolarità delle transazioni collegate, coperte dalla dichiarazione  di spesa, ad esclusione d</w:t>
            </w:r>
            <w:r w:rsidRPr="00E33329">
              <w:rPr>
                <w:rFonts w:ascii="Aptos" w:eastAsia="Aptos" w:hAnsi="Aptos" w:cs="Aptos"/>
                <w:color w:val="000000"/>
                <w:szCs w:val="24"/>
                <w:lang w:val="it-IT"/>
              </w:rPr>
              <w:t xml:space="preserve">i ciò che riguarda gli aspetti indicati nell’Allegato alla Relazione (come da modello A8d) relativi ai tassi di errore ed inammissibilità, ai casi di irregolarità e al loro trattamento da parte dell’Ente esecutore. Per maggiori dettagli si rinvia all’Allegato alla Relazione (A8d). </w:t>
            </w:r>
          </w:p>
          <w:p w14:paraId="25B5EC9E"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Si stima che l’impatto avente criticità e inammissibilità sia pari a € ……… del totale delle spese incluse nel rendiconto. Si propone di conseguenza che il contributo pubblico ammissibile sia pertanto di ……. </w:t>
            </w:r>
            <w:r>
              <w:rPr>
                <w:rFonts w:ascii="Aptos" w:eastAsia="Aptos" w:hAnsi="Aptos" w:cs="Aptos"/>
                <w:color w:val="000000"/>
                <w:szCs w:val="24"/>
              </w:rPr>
              <w:t>€</w:t>
            </w:r>
          </w:p>
          <w:p w14:paraId="4F4340C4"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62187119" w14:textId="77777777" w:rsidR="005D3E16" w:rsidRDefault="005D3E16">
            <w:pPr>
              <w:pBdr>
                <w:top w:val="nil"/>
                <w:left w:val="nil"/>
                <w:bottom w:val="nil"/>
                <w:right w:val="nil"/>
                <w:between w:val="nil"/>
              </w:pBdr>
              <w:spacing w:line="240" w:lineRule="auto"/>
              <w:ind w:left="0" w:hanging="2"/>
              <w:rPr>
                <w:rFonts w:ascii="Aptos" w:eastAsia="Aptos" w:hAnsi="Aptos" w:cs="Aptos"/>
                <w:color w:val="2E74B5"/>
                <w:sz w:val="22"/>
                <w:szCs w:val="22"/>
              </w:rPr>
            </w:pPr>
          </w:p>
        </w:tc>
      </w:tr>
      <w:tr w:rsidR="005D3E16" w14:paraId="53D786B2" w14:textId="77777777">
        <w:trPr>
          <w:trHeight w:val="616"/>
          <w:jc w:val="center"/>
        </w:trPr>
        <w:tc>
          <w:tcPr>
            <w:tcW w:w="10286" w:type="dxa"/>
            <w:shd w:val="clear" w:color="auto" w:fill="DEEAF6"/>
            <w:vAlign w:val="center"/>
          </w:tcPr>
          <w:p w14:paraId="4975DD1A"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lastRenderedPageBreak/>
              <w:t>Oppure:</w:t>
            </w:r>
          </w:p>
          <w:p w14:paraId="49AFFB5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7F496090"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i/>
                <w:color w:val="000000"/>
                <w:szCs w:val="24"/>
                <w:lang w:val="it-IT"/>
              </w:rPr>
              <w:t>(Parere negativo)</w:t>
            </w:r>
          </w:p>
          <w:p w14:paraId="3D0A641B"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i/>
                <w:color w:val="000000"/>
                <w:szCs w:val="24"/>
                <w:lang w:val="it-IT"/>
              </w:rPr>
              <w:t>Se sono stati posti notevoli limiti alla portata dell’esame e/o se i casi di irregolarità e i tassi di errore riscontrati così come il loro trattamento da parte dell’Ente esecutore sono tali che non è possibile trarre una conclusione sull’affidabilità del rendiconto finale di spesa senza un considerevole lavoro supplementare:</w:t>
            </w:r>
          </w:p>
          <w:p w14:paraId="52AF39F2"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p w14:paraId="274EE676"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sidRPr="00E33329">
              <w:rPr>
                <w:rFonts w:ascii="Aptos" w:eastAsia="Aptos" w:hAnsi="Aptos" w:cs="Aptos"/>
                <w:color w:val="000000"/>
                <w:szCs w:val="24"/>
                <w:lang w:val="it-IT"/>
              </w:rPr>
              <w:t xml:space="preserve">Sulla base dell’esame di cui sopra e in particolare alla luce degli aspetti di cui all’Allegato alla Relazione (come da modello A8d), dei tassi di errore e dei casi di irregolarità nonché del loro trattamento insoddisfacente da parte dell’Ente esecutore, il sottoscritto ritiene che la dichiarazione intermedia / finale di spesa non rispecchi fedelmente, sotto tutti gli aspetti principali, le spese sostenute nel contesto dell’iniziativa (Codice AID………) </w:t>
            </w:r>
            <w:r w:rsidRPr="00385498">
              <w:rPr>
                <w:rFonts w:ascii="Aptos" w:eastAsia="Aptos" w:hAnsi="Aptos" w:cs="Aptos"/>
                <w:color w:val="000000"/>
                <w:szCs w:val="24"/>
                <w:lang w:val="it-IT"/>
              </w:rPr>
              <w:t xml:space="preserve">e che pertanto la richiesta di pagamento della seconda rata / del saldo finale (se previsto in Contratto) del contributo pubblico non sia valida e le transazioni collegate, coperte dal rendiconto intermedio / finale di spesa, non siano legittime né regolari. </w:t>
            </w:r>
            <w:r w:rsidRPr="00E33329">
              <w:rPr>
                <w:rFonts w:ascii="Aptos" w:eastAsia="Aptos" w:hAnsi="Aptos" w:cs="Aptos"/>
                <w:color w:val="000000"/>
                <w:szCs w:val="24"/>
                <w:lang w:val="it-IT"/>
              </w:rPr>
              <w:t xml:space="preserve">Esprimendo tale parere negativo, si stima che l’impatto avente criticità e inammissibilità sia pari a € ……… del totale delle spese incluse nel rendiconto. Si propone di conseguenza che il contributo pubblico ammissibile sia pertanto di ……. </w:t>
            </w:r>
            <w:r>
              <w:rPr>
                <w:rFonts w:ascii="Aptos" w:eastAsia="Aptos" w:hAnsi="Aptos" w:cs="Aptos"/>
                <w:color w:val="000000"/>
                <w:szCs w:val="24"/>
              </w:rPr>
              <w:t>€</w:t>
            </w:r>
          </w:p>
          <w:p w14:paraId="18EC05C6"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31A64CA8"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tc>
      </w:tr>
    </w:tbl>
    <w:p w14:paraId="0E574750"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45578A1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p w14:paraId="4A58D5B7" w14:textId="77777777" w:rsidR="005D3E16" w:rsidRDefault="00467377">
      <w:pPr>
        <w:numPr>
          <w:ilvl w:val="0"/>
          <w:numId w:val="1"/>
        </w:num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b/>
          <w:color w:val="000000"/>
          <w:szCs w:val="24"/>
        </w:rPr>
        <w:t>RACCOMANDAZIONI ESPRESSE DAL REVISORE ESTERNO</w:t>
      </w:r>
    </w:p>
    <w:p w14:paraId="4D0BAD03"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rPr>
      </w:pPr>
    </w:p>
    <w:tbl>
      <w:tblPr>
        <w:tblStyle w:val="a1"/>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467377" w14:paraId="7229D6AF" w14:textId="77777777">
        <w:trPr>
          <w:trHeight w:val="616"/>
          <w:jc w:val="center"/>
        </w:trPr>
        <w:tc>
          <w:tcPr>
            <w:tcW w:w="10286" w:type="dxa"/>
            <w:shd w:val="clear" w:color="auto" w:fill="DEEAF6"/>
            <w:vAlign w:val="center"/>
          </w:tcPr>
          <w:p w14:paraId="53F93CA2" w14:textId="77777777" w:rsidR="005D3E16" w:rsidRDefault="005D3E16">
            <w:pPr>
              <w:pBdr>
                <w:top w:val="nil"/>
                <w:left w:val="nil"/>
                <w:bottom w:val="nil"/>
                <w:right w:val="nil"/>
                <w:between w:val="nil"/>
              </w:pBdr>
              <w:spacing w:line="240" w:lineRule="auto"/>
              <w:ind w:left="0" w:hanging="2"/>
              <w:jc w:val="both"/>
              <w:rPr>
                <w:rFonts w:ascii="Aptos" w:eastAsia="Aptos" w:hAnsi="Aptos" w:cs="Aptos"/>
                <w:color w:val="000000"/>
                <w:szCs w:val="24"/>
              </w:rPr>
            </w:pPr>
          </w:p>
          <w:p w14:paraId="1B97E5F3"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 w:val="22"/>
                <w:szCs w:val="22"/>
                <w:lang w:val="it-IT"/>
              </w:rPr>
            </w:pPr>
            <w:r w:rsidRPr="00E33329">
              <w:rPr>
                <w:rFonts w:ascii="Aptos" w:eastAsia="Aptos" w:hAnsi="Aptos" w:cs="Aptos"/>
                <w:i/>
                <w:color w:val="000000"/>
                <w:sz w:val="22"/>
                <w:szCs w:val="22"/>
                <w:lang w:val="it-IT"/>
              </w:rPr>
              <w:t>(L’AICS deve essere certa che la qualità dei suoi Enti Esecutori e delle loro attività raggiunga gli standard più elevati. Pertanto, l’esercizio di verifica del Revisore esterno è parte integrante di una più vasta procedura di controllo generale svolta dall’AICS che deve contribuire a fornire raccomandazioni per migliorare la gestione procedurale e finanziaria degli Enti Esecutori di Iniziative finanziate dall’AICS e le loro procedure di gestione dei finanziamenti</w:t>
            </w:r>
            <w:r w:rsidRPr="00E33329">
              <w:rPr>
                <w:rFonts w:ascii="Aptos" w:eastAsia="Aptos" w:hAnsi="Aptos" w:cs="Aptos"/>
                <w:color w:val="000000"/>
                <w:sz w:val="22"/>
                <w:szCs w:val="22"/>
                <w:lang w:val="it-IT"/>
              </w:rPr>
              <w:t xml:space="preserve">) </w:t>
            </w:r>
          </w:p>
          <w:p w14:paraId="2D5D5F9D"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lang w:val="it-IT"/>
              </w:rPr>
            </w:pPr>
          </w:p>
        </w:tc>
      </w:tr>
    </w:tbl>
    <w:p w14:paraId="4A1DF0CF"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lang w:val="it-IT"/>
        </w:rPr>
      </w:pPr>
    </w:p>
    <w:p w14:paraId="79AC0B24"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b/>
          <w:color w:val="000000"/>
          <w:szCs w:val="24"/>
          <w:lang w:val="it-IT"/>
        </w:rPr>
        <w:t xml:space="preserve">       6. RICHIESTE DELL’ENTE ESECUTORE</w:t>
      </w:r>
    </w:p>
    <w:p w14:paraId="58344B07" w14:textId="77777777" w:rsidR="005D3E16" w:rsidRPr="00E33329" w:rsidRDefault="005D3E16">
      <w:pPr>
        <w:pBdr>
          <w:top w:val="nil"/>
          <w:left w:val="nil"/>
          <w:bottom w:val="nil"/>
          <w:right w:val="nil"/>
          <w:between w:val="nil"/>
        </w:pBdr>
        <w:spacing w:line="240" w:lineRule="auto"/>
        <w:ind w:left="0" w:hanging="2"/>
        <w:jc w:val="both"/>
        <w:rPr>
          <w:rFonts w:ascii="Aptos" w:eastAsia="Aptos" w:hAnsi="Aptos" w:cs="Aptos"/>
          <w:color w:val="000000"/>
          <w:szCs w:val="24"/>
          <w:u w:val="single"/>
          <w:lang w:val="it-IT"/>
        </w:rPr>
      </w:pPr>
    </w:p>
    <w:p w14:paraId="692F3B8F" w14:textId="77777777" w:rsidR="005D3E16" w:rsidRPr="00E33329" w:rsidRDefault="00467377">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 xml:space="preserve">Conformemente a quanto previsto dal Bando, nel </w:t>
      </w:r>
      <w:r w:rsidRPr="00E33329">
        <w:rPr>
          <w:rFonts w:ascii="Aptos" w:eastAsia="Aptos" w:hAnsi="Aptos" w:cs="Aptos"/>
          <w:i/>
          <w:color w:val="000000"/>
          <w:szCs w:val="24"/>
          <w:lang w:val="it-IT"/>
        </w:rPr>
        <w:t>Vademecum del Revisore Esterno</w:t>
      </w:r>
      <w:r w:rsidRPr="00E33329">
        <w:rPr>
          <w:rFonts w:ascii="Aptos" w:eastAsia="Aptos" w:hAnsi="Aptos" w:cs="Aptos"/>
          <w:color w:val="000000"/>
          <w:szCs w:val="24"/>
          <w:lang w:val="it-IT"/>
        </w:rPr>
        <w:t xml:space="preserve">, e nel Manuale di Gestione e Rendicontazione, in base a quanto rilevato dall’analisi documentale si esprime un </w:t>
      </w:r>
      <w:r w:rsidRPr="00E33329">
        <w:rPr>
          <w:rFonts w:ascii="Aptos" w:eastAsia="Aptos" w:hAnsi="Aptos" w:cs="Aptos"/>
          <w:color w:val="000000"/>
          <w:szCs w:val="24"/>
          <w:lang w:val="it-IT"/>
        </w:rPr>
        <w:lastRenderedPageBreak/>
        <w:t>parere di conformità e rispetto delle normative dell’AICS in merito alle seguenti richieste contenute nel rapporto intermedio / finale da parte dell’Ente esecutore:</w:t>
      </w:r>
    </w:p>
    <w:tbl>
      <w:tblPr>
        <w:tblStyle w:val="a2"/>
        <w:tblW w:w="102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86"/>
      </w:tblGrid>
      <w:tr w:rsidR="005D3E16" w:rsidRPr="00467377" w14:paraId="09FAB076" w14:textId="77777777">
        <w:trPr>
          <w:trHeight w:val="616"/>
          <w:jc w:val="center"/>
        </w:trPr>
        <w:tc>
          <w:tcPr>
            <w:tcW w:w="10286" w:type="dxa"/>
            <w:shd w:val="clear" w:color="auto" w:fill="DEEAF6"/>
            <w:vAlign w:val="center"/>
          </w:tcPr>
          <w:p w14:paraId="540CCBFE"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proroga convenzionale della durata dell’Iniziativa (elencare in riferimento agli art. 2.1 e 10.5 del Manuale di Gestione e Rendicontazione):</w:t>
            </w:r>
          </w:p>
        </w:tc>
      </w:tr>
      <w:tr w:rsidR="005D3E16" w:rsidRPr="00467377" w14:paraId="2F1546EE" w14:textId="77777777">
        <w:trPr>
          <w:trHeight w:val="616"/>
          <w:jc w:val="center"/>
        </w:trPr>
        <w:tc>
          <w:tcPr>
            <w:tcW w:w="10286" w:type="dxa"/>
            <w:vAlign w:val="center"/>
          </w:tcPr>
          <w:p w14:paraId="71504288"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(proroga richiesta pari a mesi</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467377" w14:paraId="13B85C69" w14:textId="77777777">
        <w:trPr>
          <w:trHeight w:val="616"/>
          <w:jc w:val="center"/>
        </w:trPr>
        <w:tc>
          <w:tcPr>
            <w:tcW w:w="10286" w:type="dxa"/>
            <w:shd w:val="clear" w:color="auto" w:fill="DEEAF6"/>
            <w:vAlign w:val="center"/>
          </w:tcPr>
          <w:p w14:paraId="5E4EE51C"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modifica unilaterale da parte dell’Ente esecutore (elencare la tipologia delle richieste in riferimento all’art. 10.3 del Manuale di Gestione e Rendicontazione e allegare eventuali formati previsti dal Bando):</w:t>
            </w:r>
          </w:p>
        </w:tc>
      </w:tr>
      <w:tr w:rsidR="005D3E16" w:rsidRPr="00467377" w14:paraId="6803FB6A" w14:textId="77777777">
        <w:trPr>
          <w:trHeight w:val="616"/>
          <w:jc w:val="center"/>
        </w:trPr>
        <w:tc>
          <w:tcPr>
            <w:tcW w:w="10286" w:type="dxa"/>
            <w:vAlign w:val="center"/>
          </w:tcPr>
          <w:p w14:paraId="22BDD794"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variante unilaterale richiesta</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467377" w14:paraId="1D6AD2C2" w14:textId="77777777">
        <w:trPr>
          <w:trHeight w:val="616"/>
          <w:jc w:val="center"/>
        </w:trPr>
        <w:tc>
          <w:tcPr>
            <w:tcW w:w="10286" w:type="dxa"/>
            <w:shd w:val="clear" w:color="auto" w:fill="DEEAF6"/>
            <w:vAlign w:val="center"/>
          </w:tcPr>
          <w:p w14:paraId="7BD1099D"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modifica da sottoporre ad approvazione da parte dell’AICS (elencare in riferimento all’art. 10.4 del Manuale di Gestione e Rendicontazione):</w:t>
            </w:r>
          </w:p>
        </w:tc>
      </w:tr>
      <w:tr w:rsidR="005D3E16" w:rsidRPr="00467377" w14:paraId="53EEADFF" w14:textId="77777777">
        <w:trPr>
          <w:trHeight w:val="616"/>
          <w:jc w:val="center"/>
        </w:trPr>
        <w:tc>
          <w:tcPr>
            <w:tcW w:w="10286" w:type="dxa"/>
            <w:vAlign w:val="center"/>
          </w:tcPr>
          <w:p w14:paraId="262426BB"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variante da sottoporre ad approvazione da parte dell’AICS</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rsidRPr="00467377" w14:paraId="42136902" w14:textId="77777777">
        <w:trPr>
          <w:trHeight w:val="616"/>
          <w:jc w:val="center"/>
        </w:trPr>
        <w:tc>
          <w:tcPr>
            <w:tcW w:w="10286" w:type="dxa"/>
            <w:shd w:val="clear" w:color="auto" w:fill="DEEAF6"/>
            <w:vAlign w:val="center"/>
          </w:tcPr>
          <w:p w14:paraId="0695F638"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Verifica della presenza documentale degli Indicatori riportati nella Proposta esecutiva e nel Quadro Logico:</w:t>
            </w:r>
          </w:p>
        </w:tc>
      </w:tr>
      <w:tr w:rsidR="005D3E16" w:rsidRPr="00467377" w14:paraId="6DBD5D73" w14:textId="77777777">
        <w:trPr>
          <w:trHeight w:val="616"/>
          <w:jc w:val="center"/>
        </w:trPr>
        <w:tc>
          <w:tcPr>
            <w:tcW w:w="10286" w:type="dxa"/>
            <w:vAlign w:val="center"/>
          </w:tcPr>
          <w:p w14:paraId="7DB04112"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Presenza / Non presenza (specificare dati mancanti)</w:t>
            </w:r>
          </w:p>
        </w:tc>
      </w:tr>
      <w:tr w:rsidR="005D3E16" w:rsidRPr="00467377" w14:paraId="4C74E0DC" w14:textId="77777777">
        <w:trPr>
          <w:trHeight w:val="616"/>
          <w:jc w:val="center"/>
        </w:trPr>
        <w:tc>
          <w:tcPr>
            <w:tcW w:w="10286" w:type="dxa"/>
            <w:shd w:val="clear" w:color="auto" w:fill="DEEAF6"/>
            <w:vAlign w:val="center"/>
          </w:tcPr>
          <w:p w14:paraId="14B7062E" w14:textId="77777777" w:rsidR="005D3E16" w:rsidRPr="00E33329" w:rsidRDefault="00467377">
            <w:pPr>
              <w:pBdr>
                <w:top w:val="nil"/>
                <w:left w:val="nil"/>
                <w:bottom w:val="nil"/>
                <w:right w:val="nil"/>
                <w:between w:val="nil"/>
              </w:pBdr>
              <w:spacing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Richiesta di applicazione di Condizioni Specifiche applicabili all’Iniziativa (elencare in riferimento all’art. 13 del Manuale di Gestione e Rendicontazione):</w:t>
            </w:r>
          </w:p>
        </w:tc>
      </w:tr>
      <w:tr w:rsidR="005D3E16" w:rsidRPr="00467377" w14:paraId="3B90D9A3" w14:textId="77777777">
        <w:trPr>
          <w:trHeight w:val="616"/>
          <w:jc w:val="center"/>
        </w:trPr>
        <w:tc>
          <w:tcPr>
            <w:tcW w:w="10286" w:type="dxa"/>
            <w:vAlign w:val="center"/>
          </w:tcPr>
          <w:p w14:paraId="3AE34312"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Non presente / Presente (tipologia della Condizioni Specifiche applicabili all’Iniziativa</w:t>
            </w:r>
            <w:proofErr w:type="gramStart"/>
            <w:r w:rsidRPr="00E33329">
              <w:rPr>
                <w:rFonts w:ascii="Aptos" w:eastAsia="Aptos" w:hAnsi="Aptos" w:cs="Aptos"/>
                <w:i/>
                <w:color w:val="2E74B5"/>
                <w:sz w:val="22"/>
                <w:szCs w:val="22"/>
                <w:lang w:val="it-IT"/>
              </w:rPr>
              <w:t xml:space="preserve"> ….</w:t>
            </w:r>
            <w:proofErr w:type="gramEnd"/>
            <w:r w:rsidRPr="00E33329">
              <w:rPr>
                <w:rFonts w:ascii="Aptos" w:eastAsia="Aptos" w:hAnsi="Aptos" w:cs="Aptos"/>
                <w:i/>
                <w:color w:val="2E74B5"/>
                <w:sz w:val="22"/>
                <w:szCs w:val="22"/>
                <w:lang w:val="it-IT"/>
              </w:rPr>
              <w:t>). La richiesta è / non è conforme alle procedure e normative in essere</w:t>
            </w:r>
          </w:p>
        </w:tc>
      </w:tr>
      <w:tr w:rsidR="005D3E16" w14:paraId="1D12EB40" w14:textId="77777777">
        <w:trPr>
          <w:trHeight w:val="616"/>
          <w:jc w:val="center"/>
        </w:trPr>
        <w:tc>
          <w:tcPr>
            <w:tcW w:w="10286" w:type="dxa"/>
            <w:shd w:val="clear" w:color="auto" w:fill="DEEAF6"/>
            <w:vAlign w:val="center"/>
          </w:tcPr>
          <w:p w14:paraId="3EFA22B9"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proofErr w:type="spellStart"/>
            <w:r>
              <w:rPr>
                <w:rFonts w:ascii="Aptos" w:eastAsia="Aptos" w:hAnsi="Aptos" w:cs="Aptos"/>
                <w:color w:val="000000"/>
                <w:szCs w:val="24"/>
              </w:rPr>
              <w:t>Altre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richieste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dell’Ente</w:t>
            </w:r>
            <w:proofErr w:type="spellEnd"/>
            <w:r>
              <w:rPr>
                <w:rFonts w:ascii="Aptos" w:eastAsia="Aptos" w:hAnsi="Aptos" w:cs="Aptos"/>
                <w:color w:val="000000"/>
                <w:szCs w:val="24"/>
              </w:rPr>
              <w:t xml:space="preserve"> </w:t>
            </w:r>
            <w:proofErr w:type="spellStart"/>
            <w:r>
              <w:rPr>
                <w:rFonts w:ascii="Aptos" w:eastAsia="Aptos" w:hAnsi="Aptos" w:cs="Aptos"/>
                <w:color w:val="000000"/>
                <w:szCs w:val="24"/>
              </w:rPr>
              <w:t>esecutore</w:t>
            </w:r>
            <w:proofErr w:type="spellEnd"/>
            <w:r>
              <w:rPr>
                <w:rFonts w:ascii="Aptos" w:eastAsia="Aptos" w:hAnsi="Aptos" w:cs="Aptos"/>
                <w:color w:val="000000"/>
                <w:szCs w:val="24"/>
              </w:rPr>
              <w:t>:</w:t>
            </w:r>
          </w:p>
        </w:tc>
      </w:tr>
      <w:tr w:rsidR="005D3E16" w:rsidRPr="00467377" w14:paraId="640C99EB" w14:textId="77777777">
        <w:trPr>
          <w:trHeight w:val="616"/>
          <w:jc w:val="center"/>
        </w:trPr>
        <w:tc>
          <w:tcPr>
            <w:tcW w:w="10286" w:type="dxa"/>
            <w:vAlign w:val="center"/>
          </w:tcPr>
          <w:p w14:paraId="79D7BA22" w14:textId="77777777" w:rsidR="005D3E16" w:rsidRPr="00E33329" w:rsidRDefault="00467377">
            <w:pPr>
              <w:pBdr>
                <w:top w:val="nil"/>
                <w:left w:val="nil"/>
                <w:bottom w:val="nil"/>
                <w:right w:val="nil"/>
                <w:between w:val="nil"/>
              </w:pBdr>
              <w:spacing w:line="240" w:lineRule="auto"/>
              <w:ind w:left="0" w:hanging="2"/>
              <w:rPr>
                <w:rFonts w:ascii="Aptos" w:eastAsia="Aptos" w:hAnsi="Aptos" w:cs="Aptos"/>
                <w:color w:val="2E74B5"/>
                <w:sz w:val="22"/>
                <w:szCs w:val="22"/>
                <w:lang w:val="it-IT"/>
              </w:rPr>
            </w:pPr>
            <w:r w:rsidRPr="00E33329">
              <w:rPr>
                <w:rFonts w:ascii="Aptos" w:eastAsia="Aptos" w:hAnsi="Aptos" w:cs="Aptos"/>
                <w:i/>
                <w:color w:val="2E74B5"/>
                <w:sz w:val="22"/>
                <w:szCs w:val="22"/>
                <w:lang w:val="it-IT"/>
              </w:rPr>
              <w:t>Altri pareri del Revisore esterno</w:t>
            </w:r>
          </w:p>
        </w:tc>
      </w:tr>
    </w:tbl>
    <w:p w14:paraId="5279B80B"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22965883" w14:textId="77777777" w:rsidR="005D3E16" w:rsidRPr="00E33329" w:rsidRDefault="00467377">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I contenuti e le certificazioni dell’Allegato alla Relazione (A8d), composto da tre sezioni, sono parte integrante della presente Relazione.</w:t>
      </w:r>
    </w:p>
    <w:p w14:paraId="7CCE5D3F"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13DC3AEB" w14:textId="77777777" w:rsidR="005D3E16" w:rsidRPr="00E33329" w:rsidRDefault="00467377">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r w:rsidRPr="00E33329">
        <w:rPr>
          <w:rFonts w:ascii="Aptos" w:eastAsia="Aptos" w:hAnsi="Aptos" w:cs="Aptos"/>
          <w:color w:val="000000"/>
          <w:szCs w:val="24"/>
          <w:lang w:val="it-IT"/>
        </w:rPr>
        <w:t>[</w:t>
      </w:r>
      <w:r w:rsidRPr="00E33329">
        <w:rPr>
          <w:rFonts w:ascii="Aptos" w:eastAsia="Aptos" w:hAnsi="Aptos" w:cs="Aptos"/>
          <w:i/>
          <w:color w:val="000000"/>
          <w:szCs w:val="24"/>
          <w:lang w:val="it-IT"/>
        </w:rPr>
        <w:t>Nella Relazione del Revisore esterno per il Rapporto finale dell’Iniziativa deve essere inoltre prodotta (in formato libero a cura del Revisore esterno) una tabella di riconciliazione tra i saldi intermedi e finali dell’Iniziativa che consideri e certifichi le erogazioni e gli importi ammissibili definitivi approvati dall’AICS</w:t>
      </w:r>
      <w:r w:rsidRPr="00E33329">
        <w:rPr>
          <w:rFonts w:ascii="Aptos" w:eastAsia="Aptos" w:hAnsi="Aptos" w:cs="Aptos"/>
          <w:color w:val="000000"/>
          <w:szCs w:val="24"/>
          <w:lang w:val="it-IT"/>
        </w:rPr>
        <w:t xml:space="preserve">.] </w:t>
      </w:r>
    </w:p>
    <w:p w14:paraId="02CCF4C2"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0BD67079" w14:textId="77777777" w:rsidR="005D3E16" w:rsidRPr="00E33329" w:rsidRDefault="005D3E16">
      <w:pPr>
        <w:pBdr>
          <w:top w:val="nil"/>
          <w:left w:val="nil"/>
          <w:bottom w:val="nil"/>
          <w:right w:val="nil"/>
          <w:between w:val="nil"/>
        </w:pBdr>
        <w:spacing w:after="120" w:line="240" w:lineRule="auto"/>
        <w:ind w:left="0" w:hanging="2"/>
        <w:jc w:val="both"/>
        <w:rPr>
          <w:rFonts w:ascii="Aptos" w:eastAsia="Aptos" w:hAnsi="Aptos" w:cs="Aptos"/>
          <w:color w:val="000000"/>
          <w:szCs w:val="24"/>
          <w:lang w:val="it-IT"/>
        </w:rPr>
      </w:pPr>
    </w:p>
    <w:p w14:paraId="3CA59C10" w14:textId="77777777" w:rsidR="005D3E16" w:rsidRDefault="00467377">
      <w:pPr>
        <w:pBdr>
          <w:top w:val="nil"/>
          <w:left w:val="nil"/>
          <w:bottom w:val="nil"/>
          <w:right w:val="nil"/>
          <w:between w:val="nil"/>
        </w:pBdr>
        <w:spacing w:line="240" w:lineRule="auto"/>
        <w:ind w:left="0" w:hanging="2"/>
        <w:jc w:val="both"/>
        <w:rPr>
          <w:rFonts w:ascii="Aptos" w:eastAsia="Aptos" w:hAnsi="Aptos" w:cs="Aptos"/>
          <w:color w:val="000000"/>
          <w:szCs w:val="24"/>
        </w:rPr>
      </w:pPr>
      <w:r>
        <w:rPr>
          <w:rFonts w:ascii="Aptos" w:eastAsia="Aptos" w:hAnsi="Aptos" w:cs="Aptos"/>
          <w:color w:val="000000"/>
          <w:szCs w:val="24"/>
        </w:rPr>
        <w:t xml:space="preserve">Data </w:t>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r>
        <w:rPr>
          <w:rFonts w:ascii="Aptos" w:eastAsia="Aptos" w:hAnsi="Aptos" w:cs="Aptos"/>
          <w:color w:val="000000"/>
          <w:szCs w:val="24"/>
        </w:rPr>
        <w:tab/>
      </w:r>
      <w:proofErr w:type="spellStart"/>
      <w:r>
        <w:rPr>
          <w:rFonts w:ascii="Aptos" w:eastAsia="Aptos" w:hAnsi="Aptos" w:cs="Aptos"/>
          <w:color w:val="000000"/>
          <w:szCs w:val="24"/>
        </w:rPr>
        <w:t>Firma</w:t>
      </w:r>
      <w:proofErr w:type="spellEnd"/>
    </w:p>
    <w:sectPr w:rsidR="005D3E16">
      <w:headerReference w:type="default" r:id="rId10"/>
      <w:footerReference w:type="default" r:id="rId11"/>
      <w:pgSz w:w="11907" w:h="16840"/>
      <w:pgMar w:top="851" w:right="992" w:bottom="0" w:left="851" w:header="426"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BFAB1" w14:textId="77777777" w:rsidR="00157A0F" w:rsidRDefault="00157A0F">
      <w:pPr>
        <w:spacing w:line="240" w:lineRule="auto"/>
        <w:ind w:left="0" w:hanging="2"/>
      </w:pPr>
      <w:r>
        <w:separator/>
      </w:r>
    </w:p>
  </w:endnote>
  <w:endnote w:type="continuationSeparator" w:id="0">
    <w:p w14:paraId="78947468" w14:textId="77777777" w:rsidR="00157A0F" w:rsidRDefault="00157A0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9E3D" w14:textId="77777777" w:rsidR="005D3E16" w:rsidRDefault="00467377">
    <w:pPr>
      <w:pBdr>
        <w:top w:val="nil"/>
        <w:left w:val="nil"/>
        <w:bottom w:val="nil"/>
        <w:right w:val="nil"/>
        <w:between w:val="nil"/>
      </w:pBdr>
      <w:tabs>
        <w:tab w:val="center" w:pos="4320"/>
        <w:tab w:val="right" w:pos="8640"/>
      </w:tabs>
      <w:spacing w:line="240" w:lineRule="auto"/>
      <w:ind w:left="0" w:hanging="2"/>
      <w:jc w:val="right"/>
      <w:rPr>
        <w:rFonts w:ascii="Aptos" w:eastAsia="Aptos" w:hAnsi="Aptos" w:cs="Aptos"/>
        <w:color w:val="000000"/>
        <w:sz w:val="20"/>
      </w:rPr>
    </w:pPr>
    <w:r>
      <w:rPr>
        <w:rFonts w:ascii="Aptos" w:eastAsia="Aptos" w:hAnsi="Aptos" w:cs="Aptos"/>
        <w:color w:val="000000"/>
        <w:sz w:val="20"/>
      </w:rPr>
      <w:fldChar w:fldCharType="begin"/>
    </w:r>
    <w:r>
      <w:rPr>
        <w:rFonts w:ascii="Aptos" w:eastAsia="Aptos" w:hAnsi="Aptos" w:cs="Aptos"/>
        <w:color w:val="000000"/>
        <w:sz w:val="20"/>
      </w:rPr>
      <w:instrText>PAGE</w:instrText>
    </w:r>
    <w:r>
      <w:rPr>
        <w:rFonts w:ascii="Aptos" w:eastAsia="Aptos" w:hAnsi="Aptos" w:cs="Aptos"/>
        <w:color w:val="000000"/>
        <w:sz w:val="20"/>
      </w:rPr>
      <w:fldChar w:fldCharType="separate"/>
    </w:r>
    <w:r w:rsidR="00E33329">
      <w:rPr>
        <w:rFonts w:ascii="Aptos" w:eastAsia="Aptos" w:hAnsi="Aptos" w:cs="Aptos"/>
        <w:noProof/>
        <w:color w:val="000000"/>
        <w:sz w:val="20"/>
      </w:rPr>
      <w:t>1</w:t>
    </w:r>
    <w:r>
      <w:rPr>
        <w:rFonts w:ascii="Aptos" w:eastAsia="Aptos" w:hAnsi="Aptos" w:cs="Aptos"/>
        <w:color w:val="000000"/>
        <w:sz w:val="20"/>
      </w:rPr>
      <w:fldChar w:fldCharType="end"/>
    </w:r>
  </w:p>
  <w:p w14:paraId="49CB778E" w14:textId="77777777" w:rsidR="005D3E16" w:rsidRDefault="005D3E16">
    <w:pPr>
      <w:pBdr>
        <w:top w:val="nil"/>
        <w:left w:val="nil"/>
        <w:bottom w:val="nil"/>
        <w:right w:val="nil"/>
        <w:between w:val="nil"/>
      </w:pBdr>
      <w:tabs>
        <w:tab w:val="center" w:pos="4320"/>
        <w:tab w:val="right" w:pos="8640"/>
        <w:tab w:val="right" w:pos="8789"/>
      </w:tabs>
      <w:spacing w:line="240" w:lineRule="auto"/>
      <w:ind w:left="0" w:hanging="2"/>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E0059" w14:textId="77777777" w:rsidR="00157A0F" w:rsidRDefault="00157A0F">
      <w:pPr>
        <w:spacing w:line="240" w:lineRule="auto"/>
        <w:ind w:left="0" w:hanging="2"/>
      </w:pPr>
      <w:r>
        <w:separator/>
      </w:r>
    </w:p>
  </w:footnote>
  <w:footnote w:type="continuationSeparator" w:id="0">
    <w:p w14:paraId="68843C2B" w14:textId="77777777" w:rsidR="00157A0F" w:rsidRDefault="00157A0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5D117" w14:textId="77777777" w:rsidR="005D3E16" w:rsidRPr="00E33329" w:rsidRDefault="00467377">
    <w:pPr>
      <w:pBdr>
        <w:top w:val="nil"/>
        <w:left w:val="nil"/>
        <w:bottom w:val="nil"/>
        <w:right w:val="nil"/>
        <w:between w:val="nil"/>
      </w:pBdr>
      <w:tabs>
        <w:tab w:val="center" w:pos="4320"/>
        <w:tab w:val="right" w:pos="8640"/>
      </w:tabs>
      <w:spacing w:line="240" w:lineRule="auto"/>
      <w:ind w:left="0" w:hanging="2"/>
      <w:jc w:val="center"/>
      <w:rPr>
        <w:rFonts w:ascii="Aptos" w:eastAsia="Aptos" w:hAnsi="Aptos" w:cs="Aptos"/>
        <w:color w:val="000000"/>
        <w:sz w:val="22"/>
        <w:szCs w:val="22"/>
        <w:lang w:val="it-IT"/>
      </w:rPr>
    </w:pPr>
    <w:r w:rsidRPr="00E33329">
      <w:rPr>
        <w:rFonts w:ascii="Aptos" w:eastAsia="Aptos" w:hAnsi="Aptos" w:cs="Aptos"/>
        <w:i/>
        <w:color w:val="000000"/>
        <w:sz w:val="22"/>
        <w:szCs w:val="22"/>
        <w:lang w:val="it-IT"/>
      </w:rPr>
      <w:t>A8c</w:t>
    </w:r>
    <w:r w:rsidRPr="00E33329">
      <w:rPr>
        <w:rFonts w:ascii="Aptos" w:eastAsia="Aptos" w:hAnsi="Aptos" w:cs="Aptos"/>
        <w:i/>
        <w:sz w:val="22"/>
        <w:szCs w:val="22"/>
        <w:lang w:val="it-IT"/>
      </w:rPr>
      <w:t>_</w:t>
    </w:r>
    <w:r w:rsidRPr="00E33329">
      <w:rPr>
        <w:rFonts w:ascii="Aptos" w:eastAsia="Aptos" w:hAnsi="Aptos" w:cs="Aptos"/>
        <w:i/>
        <w:color w:val="000000"/>
        <w:sz w:val="22"/>
        <w:szCs w:val="22"/>
        <w:lang w:val="it-IT"/>
      </w:rPr>
      <w:t>Modello Relazione del Revisore Esterno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335FC2"/>
    <w:multiLevelType w:val="multilevel"/>
    <w:tmpl w:val="9D5088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15373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16"/>
    <w:rsid w:val="00157A0F"/>
    <w:rsid w:val="00385498"/>
    <w:rsid w:val="00467377"/>
    <w:rsid w:val="005D3E16"/>
    <w:rsid w:val="00E33329"/>
    <w:rsid w:val="00E90E28"/>
    <w:rsid w:val="00F94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8614"/>
  <w15:docId w15:val="{41503E0C-E325-4C9F-A827-D541A981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snapToGrid w:val="0"/>
      <w:position w:val="-1"/>
      <w:sz w:val="24"/>
      <w:lang w:val="en-GB"/>
    </w:rPr>
  </w:style>
  <w:style w:type="paragraph" w:styleId="Heading1">
    <w:name w:val="heading 1"/>
    <w:basedOn w:val="Normal"/>
    <w:next w:val="Normal"/>
    <w:uiPriority w:val="9"/>
    <w:qFormat/>
    <w:pPr>
      <w:keepNext/>
      <w:spacing w:before="240" w:after="60"/>
    </w:pPr>
    <w:rPr>
      <w:rFonts w:ascii="Calibri Light" w:hAnsi="Calibri Light"/>
      <w:b/>
      <w:bCs/>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spacing w:before="240" w:after="60"/>
      <w:outlineLvl w:val="3"/>
    </w:pPr>
    <w:rPr>
      <w:b/>
      <w:bCs/>
      <w:snapToGrid/>
      <w:sz w:val="28"/>
      <w:szCs w:val="28"/>
      <w:lang w:val="it-IT" w:eastAsia="it-IT"/>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spacing w:before="240" w:after="60"/>
      <w:outlineLvl w:val="5"/>
    </w:pPr>
    <w:rPr>
      <w:b/>
      <w:bCs/>
      <w:snapToGrid/>
      <w:sz w:val="22"/>
      <w:szCs w:val="22"/>
      <w:lang w:val="es-E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pPr>
      <w:jc w:val="both"/>
    </w:pPr>
    <w:rPr>
      <w:rFonts w:ascii="Arial" w:hAnsi="Arial"/>
      <w:sz w:val="20"/>
      <w:lang w:val="fr-FR"/>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atLeast"/>
    </w:pPr>
    <w:rPr>
      <w:rFonts w:ascii="Tahoma" w:hAnsi="Tahoma"/>
      <w:snapToGrid/>
      <w:lang w:val="en-US"/>
    </w:rPr>
  </w:style>
  <w:style w:type="paragraph" w:styleId="BalloonText">
    <w:name w:val="Balloon Text"/>
    <w:basedOn w:val="Normal"/>
    <w:rPr>
      <w:rFonts w:ascii="Tahoma" w:hAnsi="Tahoma" w:cs="Tahoma"/>
      <w:sz w:val="16"/>
      <w:szCs w:val="16"/>
    </w:rPr>
  </w:style>
  <w:style w:type="paragraph" w:styleId="FootnoteText">
    <w:name w:val="footnote text"/>
    <w:basedOn w:val="Normal"/>
    <w:rPr>
      <w:sz w:val="20"/>
    </w:rPr>
  </w:style>
  <w:style w:type="character" w:styleId="FootnoteReference">
    <w:name w:val="footnote reference"/>
    <w:rPr>
      <w:w w:val="100"/>
      <w:position w:val="-1"/>
      <w:effect w:val="none"/>
      <w:vertAlign w:val="superscript"/>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w w:val="100"/>
      <w:position w:val="-1"/>
      <w:u w:val="single"/>
      <w:effect w:val="none"/>
      <w:vertAlign w:val="baseline"/>
      <w:cs w:val="0"/>
      <w:em w:val="none"/>
    </w:rPr>
  </w:style>
  <w:style w:type="paragraph" w:styleId="ListParagraph">
    <w:name w:val="List Paragraph"/>
    <w:basedOn w:val="Normal"/>
    <w:pPr>
      <w:ind w:left="708"/>
    </w:p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rPr>
  </w:style>
  <w:style w:type="character" w:customStyle="1" w:styleId="TestocommentoCarattere">
    <w:name w:val="Testo commento Carattere"/>
    <w:rPr>
      <w:snapToGrid/>
      <w:w w:val="100"/>
      <w:position w:val="-1"/>
      <w:effect w:val="none"/>
      <w:vertAlign w:val="baseline"/>
      <w:cs w:val="0"/>
      <w:em w:val="none"/>
      <w:lang w:val="en-GB" w:eastAsia="en-US"/>
    </w:rPr>
  </w:style>
  <w:style w:type="paragraph" w:styleId="CommentSubject">
    <w:name w:val="annotation subject"/>
    <w:basedOn w:val="CommentText"/>
    <w:next w:val="CommentText"/>
    <w:rPr>
      <w:b/>
      <w:bCs/>
    </w:rPr>
  </w:style>
  <w:style w:type="character" w:customStyle="1" w:styleId="SoggettocommentoCarattere">
    <w:name w:val="Soggetto commento Carattere"/>
    <w:rPr>
      <w:b/>
      <w:bCs/>
      <w:snapToGrid/>
      <w:w w:val="100"/>
      <w:position w:val="-1"/>
      <w:effect w:val="none"/>
      <w:vertAlign w:val="baseline"/>
      <w:cs w:val="0"/>
      <w:em w:val="none"/>
      <w:lang w:val="en-GB" w:eastAsia="en-US"/>
    </w:rPr>
  </w:style>
  <w:style w:type="character" w:customStyle="1" w:styleId="Titolo1Carattere">
    <w:name w:val="Titolo 1 Carattere"/>
    <w:rPr>
      <w:rFonts w:ascii="Calibri Light" w:hAnsi="Calibri Light"/>
      <w:b/>
      <w:bCs/>
      <w:snapToGrid/>
      <w:w w:val="100"/>
      <w:kern w:val="32"/>
      <w:position w:val="-1"/>
      <w:sz w:val="32"/>
      <w:szCs w:val="32"/>
      <w:effect w:val="none"/>
      <w:vertAlign w:val="baseline"/>
      <w:cs w:val="0"/>
      <w:em w:val="none"/>
      <w:lang w:val="en-GB" w:eastAsia="en-US"/>
    </w:rPr>
  </w:style>
  <w:style w:type="character" w:customStyle="1" w:styleId="PidipaginaCarattere">
    <w:name w:val="Piè di pagina Carattere"/>
    <w:rPr>
      <w:snapToGrid/>
      <w:w w:val="100"/>
      <w:position w:val="-1"/>
      <w:sz w:val="24"/>
      <w:effect w:val="none"/>
      <w:vertAlign w:val="baseline"/>
      <w:cs w:val="0"/>
      <w:em w:val="none"/>
      <w:lang w:val="en-GB" w:eastAsia="en-US"/>
    </w:rPr>
  </w:style>
  <w:style w:type="character" w:styleId="Emphasis">
    <w:name w:val="Emphasis"/>
    <w:rPr>
      <w:i/>
      <w:iCs/>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lang w:eastAsia="it-IT"/>
    </w:rPr>
  </w:style>
  <w:style w:type="character" w:customStyle="1" w:styleId="TestocommentoCarattere1">
    <w:name w:val="Testo commento Carattere1"/>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 nuevo documento." ma:contentTypeScope="" ma:versionID="9a7ba012c29a22b831bec886f21d5569">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fab55b99bea4d6d8674cb9ea9206c21"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qCAwXYdBMVZf3MCk+PiTsBd2yA==">CgMxLjA4AHIhMVR2RWRZeHlaR2d0Nm1QcFNfbTlRWDRubHVjS1RPRlp3</go:docsCustomData>
</go:gDocsCustomXmlDataStorage>
</file>

<file path=customXml/itemProps1.xml><?xml version="1.0" encoding="utf-8"?>
<ds:datastoreItem xmlns:ds="http://schemas.openxmlformats.org/officeDocument/2006/customXml" ds:itemID="{8C5471B2-C1E1-4090-810E-D23E6F4A9DA4}">
  <ds:schemaRefs>
    <ds:schemaRef ds:uri="http://schemas.microsoft.com/sharepoint/v3/contenttype/forms"/>
  </ds:schemaRefs>
</ds:datastoreItem>
</file>

<file path=customXml/itemProps2.xml><?xml version="1.0" encoding="utf-8"?>
<ds:datastoreItem xmlns:ds="http://schemas.openxmlformats.org/officeDocument/2006/customXml" ds:itemID="{FB137ABF-223E-421C-ADDE-B2B7AD717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1403</Words>
  <Characters>8003</Characters>
  <Application>Microsoft Office Word</Application>
  <DocSecurity>0</DocSecurity>
  <Lines>66</Lines>
  <Paragraphs>18</Paragraphs>
  <ScaleCrop>false</ScaleCrop>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Francesca Borghesi</cp:lastModifiedBy>
  <cp:revision>4</cp:revision>
  <dcterms:created xsi:type="dcterms:W3CDTF">2024-06-10T08:12:00Z</dcterms:created>
  <dcterms:modified xsi:type="dcterms:W3CDTF">2025-08-19T14:16:00Z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lcf76f155ced4ddcb4097134ff3c332f</vt:lpwstr>
  </property>
  <property fmtid="{D5CDD505-2E9C-101B-9397-08002B2CF9AE}" pid="3" name="Dataeora">
    <vt:lpwstr>Dataeora</vt:lpwstr>
  </property>
  <property fmtid="{D5CDD505-2E9C-101B-9397-08002B2CF9AE}" pid="4" name="TaxCatchAll">
    <vt:lpwstr>TaxCatchAll</vt:lpwstr>
  </property>
</Properties>
</file>